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Cadre de gouvernance IA — ThinknSolv</w:t>
      </w:r>
    </w:p>
    <w:p>
      <w:r>
        <w:rPr>
          <w:i/>
        </w:rPr>
        <w:t>Architecture de référence : objectif, hiérarchie, usage, périmètre et maintenance du dispositif de gouvernance IA</w:t>
      </w:r>
    </w:p>
    <w:tbl>
      <w:tblPr>
        <w:tblStyle w:val="TableGrid"/>
        <w:tblW w:type="auto" w:w="0"/>
        <w:tblLook w:firstColumn="1" w:firstRow="1" w:lastColumn="0" w:lastRow="0" w:noHBand="0" w:noVBand="1" w:val="04A0"/>
      </w:tblPr>
      <w:tblGrid>
        <w:gridCol w:w="4320"/>
        <w:gridCol w:w="4320"/>
      </w:tblGrid>
      <w:tr>
        <w:tc>
          <w:tcPr>
            <w:tcW w:type="dxa" w:w="4320"/>
          </w:tcPr>
          <w:p>
            <w:r>
              <w:rPr>
                <w:b/>
              </w:rPr>
              <w:t>Titre</w:t>
            </w:r>
          </w:p>
        </w:tc>
        <w:tc>
          <w:tcPr>
            <w:tcW w:type="dxa" w:w="4320"/>
          </w:tcPr>
          <w:p>
            <w:r>
              <w:t>Cadre de gouvernance IA — ThinknSolv</w:t>
            </w:r>
          </w:p>
        </w:tc>
      </w:tr>
      <w:tr>
        <w:tc>
          <w:tcPr>
            <w:tcW w:type="dxa" w:w="4320"/>
          </w:tcPr>
          <w:p>
            <w:r>
              <w:rPr>
                <w:b/>
              </w:rPr>
              <w:t>Version</w:t>
            </w:r>
          </w:p>
        </w:tc>
        <w:tc>
          <w:tcPr>
            <w:tcW w:type="dxa" w:w="4320"/>
          </w:tcPr>
          <w:p>
            <w:r>
              <w:t>1.1</w:t>
            </w:r>
          </w:p>
        </w:tc>
      </w:tr>
      <w:tr>
        <w:tc>
          <w:tcPr>
            <w:tcW w:type="dxa" w:w="4320"/>
          </w:tcPr>
          <w:p>
            <w:r>
              <w:rPr>
                <w:b/>
              </w:rPr>
              <w:t>Propriétaire</w:t>
            </w:r>
          </w:p>
        </w:tc>
        <w:tc>
          <w:tcPr>
            <w:tcW w:type="dxa" w:w="4320"/>
          </w:tcPr>
          <w:p>
            <w:r>
              <w:t>Laurent Perier / ThinknSolv</w:t>
            </w:r>
          </w:p>
        </w:tc>
      </w:tr>
      <w:tr>
        <w:tc>
          <w:tcPr>
            <w:tcW w:type="dxa" w:w="4320"/>
          </w:tcPr>
          <w:p>
            <w:r>
              <w:rPr>
                <w:b/>
              </w:rPr>
              <w:t>Statut</w:t>
            </w:r>
          </w:p>
        </w:tc>
        <w:tc>
          <w:tcPr>
            <w:tcW w:type="dxa" w:w="4320"/>
          </w:tcPr>
          <w:p>
            <w:r>
              <w:t>Approuvé (v1.0) ; v1.1 en révision</w:t>
            </w:r>
          </w:p>
        </w:tc>
      </w:tr>
      <w:tr>
        <w:tc>
          <w:tcPr>
            <w:tcW w:type="dxa" w:w="4320"/>
          </w:tcPr>
          <w:p>
            <w:r>
              <w:rPr>
                <w:b/>
              </w:rPr>
              <w:t>Date d'effet</w:t>
            </w:r>
          </w:p>
        </w:tc>
        <w:tc>
          <w:tcPr>
            <w:tcW w:type="dxa" w:w="4320"/>
          </w:tcPr>
          <w:p>
            <w:r>
              <w:t>16 septembre 2026 (v1.0 — dernière version effective ; v1.1 pas encore approuvée)</w:t>
            </w:r>
          </w:p>
        </w:tc>
      </w:tr>
      <w:tr>
        <w:tc>
          <w:tcPr>
            <w:tcW w:type="dxa" w:w="4320"/>
          </w:tcPr>
          <w:p>
            <w:r>
              <w:rPr>
                <w:b/>
              </w:rPr>
              <w:t>Dernière revue</w:t>
            </w:r>
          </w:p>
        </w:tc>
        <w:tc>
          <w:tcPr>
            <w:tcW w:type="dxa" w:w="4320"/>
          </w:tcPr>
          <w:p>
            <w:r>
              <w:t>16 septembre 2026</w:t>
            </w:r>
          </w:p>
        </w:tc>
      </w:tr>
      <w:tr>
        <w:tc>
          <w:tcPr>
            <w:tcW w:type="dxa" w:w="4320"/>
          </w:tcPr>
          <w:p>
            <w:r>
              <w:rPr>
                <w:b/>
              </w:rPr>
              <w:t>Prochain déclencheur de revue</w:t>
            </w:r>
          </w:p>
        </w:tc>
        <w:tc>
          <w:tcPr>
            <w:tcW w:type="dxa" w:w="4320"/>
          </w:tcPr>
          <w:p>
            <w:r>
              <w:t>Ajout/retrait d'un document du dispositif, changement de statut de diffusion, ou revue annuelle par défaut</w:t>
            </w:r>
          </w:p>
        </w:tc>
      </w:tr>
      <w:tr>
        <w:tc>
          <w:tcPr>
            <w:tcW w:type="dxa" w:w="4320"/>
          </w:tcPr>
          <w:p>
            <w:r>
              <w:rPr>
                <w:b/>
              </w:rPr>
              <w:t>Document de tutelle</w:t>
            </w:r>
          </w:p>
        </w:tc>
        <w:tc>
          <w:tcPr>
            <w:tcW w:type="dxa" w:w="4320"/>
          </w:tcPr>
          <w:p>
            <w:r>
              <w:t>Standard qualité et preuve IA</w:t>
            </w:r>
          </w:p>
        </w:tc>
      </w:tr>
      <w:tr>
        <w:tc>
          <w:tcPr>
            <w:tcW w:type="dxa" w:w="4320"/>
          </w:tcPr>
          <w:p>
            <w:r>
              <w:rPr>
                <w:b/>
              </w:rPr>
              <w:t>Source de vérité</w:t>
            </w:r>
          </w:p>
        </w:tc>
        <w:tc>
          <w:tcPr>
            <w:tcW w:type="dxa" w:w="4320"/>
          </w:tcPr>
          <w:p>
            <w:r>
              <w:t>AI_Governance_Framework.md, cette version</w:t>
            </w:r>
          </w:p>
        </w:tc>
      </w:tr>
      <w:tr>
        <w:tc>
          <w:tcPr>
            <w:tcW w:type="dxa" w:w="4320"/>
          </w:tcPr>
          <w:p>
            <w:r>
              <w:rPr>
                <w:b/>
              </w:rPr>
              <w:t>Résumé du changement</w:t>
            </w:r>
          </w:p>
        </w:tc>
        <w:tc>
          <w:tcPr>
            <w:tcW w:type="dxa" w:w="4320"/>
          </w:tcPr>
          <w:p>
            <w:r>
              <w:t>v1.0 — reconstruction en français à partir d'une proposition anglaise (v1.1, 6 documents) soumise pour avis ; fusion du Human–AI Interaction Protocol dans le Standard, hiérarchie ramenée à 5 documents. v1.1 (2026-09-28, proposé) — ajoute la section « Alignement avec les référentiels externes » (comparaison ISO/IEC 42001 vs NIST AI RMF)</w:t>
            </w:r>
          </w:p>
        </w:tc>
      </w:tr>
    </w:tbl>
    <w:p>
      <w:pPr>
        <w:pStyle w:val="Heading1"/>
      </w:pPr>
      <w:r>
        <w:t>Objectif</w:t>
      </w:r>
    </w:p>
    <w:p>
      <w:r>
        <w:t>Ce document est l'architecture de référence du dispositif complet de gouvernance IA de Laurent Perier / ThinknSolv. Il définit le périmètre commun, la hiérarchie des documents, l'usage, la responsabilité, la séquence d'application, la préséance des règles, les formats contrôlés et la maintenance. Il coordonne le dispositif mais ne modifie jamais les règles de fond obligatoires du Document 2.</w:t>
      </w:r>
    </w:p>
    <w:p>
      <w:r>
        <w:rPr>
          <w:b/>
        </w:rPr>
        <w:t xml:space="preserve">En un coup d'œil : </w:t>
      </w:r>
      <w:r>
        <w:t>le Document 1 (ce document) fixe les règles du jeu — quel document consulter et quand. Le Document 2 fixe le seuil de rigueur à respecter. Les Documents 3, 4 et 5 l'appliquent chacun à une situation différente (pas dans un ordre imposé entre eux — voir le schéma plus bas).</w:t>
      </w:r>
    </w:p>
    <w:p>
      <w:pPr>
        <w:pStyle w:val="Heading1"/>
      </w:pPr>
      <w:r>
        <w:t>Hiérarchie des documents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432"/>
            <w:shd w:val="clear" w:color="auto" w:fill="2E7D32"/>
          </w:tcPr>
          <w:p>
            <w:r>
              <w:rPr>
                <w:b/>
                <w:color w:val="FFFFFF"/>
              </w:rPr>
              <w:t>#</w:t>
            </w:r>
          </w:p>
        </w:tc>
        <w:tc>
          <w:tcPr>
            <w:tcW w:type="dxa" w:w="2160"/>
            <w:shd w:val="clear" w:color="auto" w:fill="2E7D32"/>
          </w:tcPr>
          <w:p>
            <w:r>
              <w:rPr>
                <w:b/>
                <w:color w:val="FFFFFF"/>
              </w:rPr>
              <w:t>Document</w:t>
            </w:r>
          </w:p>
        </w:tc>
        <w:tc>
          <w:tcPr>
            <w:tcW w:type="dxa" w:w="2736"/>
            <w:shd w:val="clear" w:color="auto" w:fill="2E7D32"/>
          </w:tcPr>
          <w:p>
            <w:r>
              <w:rPr>
                <w:b/>
                <w:color w:val="FFFFFF"/>
              </w:rPr>
              <w:t>Objectif central</w:t>
            </w:r>
          </w:p>
        </w:tc>
        <w:tc>
          <w:tcPr>
            <w:tcW w:type="dxa" w:w="2160"/>
            <w:shd w:val="clear" w:color="auto" w:fill="2E7D32"/>
          </w:tcPr>
          <w:p>
            <w:r>
              <w:rPr>
                <w:b/>
                <w:color w:val="FFFFFF"/>
              </w:rPr>
              <w:t>S'applique quand</w:t>
            </w:r>
          </w:p>
        </w:tc>
        <w:tc>
          <w:tcPr>
            <w:tcW w:type="dxa" w:w="2736"/>
            <w:shd w:val="clear" w:color="auto" w:fill="2E7D32"/>
          </w:tcPr>
          <w:p>
            <w:r>
              <w:rPr>
                <w:b/>
                <w:color w:val="FFFFFF"/>
              </w:rPr>
              <w:t>Production principale</w:t>
            </w:r>
          </w:p>
        </w:tc>
      </w:tr>
      <w:tr>
        <w:tc>
          <w:tcPr>
            <w:tcW w:type="dxa" w:w="432"/>
          </w:tcPr>
          <w:p>
            <w:r>
              <w:t>1</w:t>
            </w:r>
          </w:p>
        </w:tc>
        <w:tc>
          <w:tcPr>
            <w:tcW w:type="dxa" w:w="2160"/>
          </w:tcPr>
          <w:p>
            <w:r>
              <w:t>Cadre de gouvernance IA — ThinknSolv (ce document)</w:t>
            </w:r>
          </w:p>
        </w:tc>
        <w:tc>
          <w:tcPr>
            <w:tcW w:type="dxa" w:w="2736"/>
          </w:tcPr>
          <w:p>
            <w:r>
              <w:t>Définir le périmètre, la hiérarchie, l'usage, les formats et la logique d'application du dispositif</w:t>
            </w:r>
          </w:p>
        </w:tc>
        <w:tc>
          <w:tcPr>
            <w:tcW w:type="dxa" w:w="2160"/>
          </w:tcPr>
          <w:p>
            <w:r>
              <w:t>Toujours — c'est le document d'orientation</w:t>
            </w:r>
          </w:p>
        </w:tc>
        <w:tc>
          <w:tcPr>
            <w:tcW w:type="dxa" w:w="2736"/>
          </w:tcPr>
          <w:p>
            <w:r>
              <w:t>Carte de navigation entre les 4 autres documents</w:t>
            </w:r>
          </w:p>
        </w:tc>
      </w:tr>
      <w:tr>
        <w:tc>
          <w:tcPr>
            <w:tcW w:type="dxa" w:w="432"/>
          </w:tcPr>
          <w:p>
            <w:r>
              <w:t>2</w:t>
            </w:r>
          </w:p>
        </w:tc>
        <w:tc>
          <w:tcPr>
            <w:tcW w:type="dxa" w:w="2160"/>
          </w:tcPr>
          <w:p>
            <w:r>
              <w:t>Standard qualité et preuve IA</w:t>
            </w:r>
          </w:p>
        </w:tc>
        <w:tc>
          <w:tcPr>
            <w:tcW w:type="dxa" w:w="2736"/>
          </w:tcPr>
          <w:p>
            <w:r>
              <w:t>Définir les principes non négociables d'un travail IA fiable : intégrité de la preuve, incertitudes explicites, complétude, préservation du contexte, contre-argument, traçabilité, escalade sûre</w:t>
            </w:r>
          </w:p>
        </w:tc>
        <w:tc>
          <w:tcPr>
            <w:tcW w:type="dxa" w:w="2160"/>
          </w:tcPr>
          <w:p>
            <w:r>
              <w:t>Toujours — c'est la référence de fond</w:t>
            </w:r>
          </w:p>
        </w:tc>
        <w:tc>
          <w:tcPr>
            <w:tcW w:type="dxa" w:w="2736"/>
          </w:tcPr>
          <w:p>
            <w:r>
              <w:t>Règles communes, exigences de contrôle, exceptions, attentes de non-régression</w:t>
            </w:r>
          </w:p>
        </w:tc>
      </w:tr>
      <w:tr>
        <w:tc>
          <w:tcPr>
            <w:tcW w:type="dxa" w:w="432"/>
          </w:tcPr>
          <w:p>
            <w:r>
              <w:t>3</w:t>
            </w:r>
          </w:p>
        </w:tc>
        <w:tc>
          <w:tcPr>
            <w:tcW w:type="dxa" w:w="2160"/>
          </w:tcPr>
          <w:p>
            <w:r>
              <w:t>Plan de contrôle qualité allégé IA</w:t>
            </w:r>
          </w:p>
        </w:tc>
        <w:tc>
          <w:tcPr>
            <w:tcW w:type="dxa" w:w="2736"/>
          </w:tcPr>
          <w:p>
            <w:r>
              <w:t>Fournir un processus simple et rapide qui garde les protections essentielles pour un travail réellement à faible enjeu, réversible et borné</w:t>
            </w:r>
          </w:p>
        </w:tc>
        <w:tc>
          <w:tcPr>
            <w:tcW w:type="dxa" w:w="2160"/>
          </w:tcPr>
          <w:p>
            <w:r>
              <w:t>Seulement si toutes les conditions d'éligibilité Lite sont réunies</w:t>
            </w:r>
          </w:p>
        </w:tc>
        <w:tc>
          <w:tcPr>
            <w:tcW w:type="dxa" w:w="2736"/>
          </w:tcPr>
          <w:p>
            <w:r>
              <w:t>Brief minimal, check-list courte, décision Lite, déclencheur d'escalade</w:t>
            </w:r>
          </w:p>
        </w:tc>
      </w:tr>
      <w:tr>
        <w:tc>
          <w:tcPr>
            <w:tcW w:type="dxa" w:w="432"/>
          </w:tcPr>
          <w:p>
            <w:r>
              <w:t>4</w:t>
            </w:r>
          </w:p>
        </w:tc>
        <w:tc>
          <w:tcPr>
            <w:tcW w:type="dxa" w:w="2160"/>
          </w:tcPr>
          <w:p>
            <w:r>
              <w:t>Structurer et valider un livrable IA</w:t>
            </w:r>
          </w:p>
        </w:tc>
        <w:tc>
          <w:tcPr>
            <w:tcW w:type="dxa" w:w="2736"/>
          </w:tcPr>
          <w:p>
            <w:r>
              <w:t>Rendre les livrables formels ou techniques reproductibles, vérifiables et testables via un gabarit de projet commun et deux niveaux de validation</w:t>
            </w:r>
          </w:p>
        </w:tc>
        <w:tc>
          <w:tcPr>
            <w:tcW w:type="dxa" w:w="2160"/>
          </w:tcPr>
          <w:p>
            <w:r>
              <w:t>Applications, code, générateurs de classeur, livrables formels, actifs de projet réutilisables</w:t>
            </w:r>
          </w:p>
        </w:tc>
        <w:tc>
          <w:tcPr>
            <w:tcW w:type="dxa" w:w="2736"/>
          </w:tcPr>
          <w:p>
            <w:r>
              <w:t>Manifeste de fichiers, documentation, tests applicatifs, vérifications visuelles, cohérence de plateforme, preuve de livraison</w:t>
            </w:r>
          </w:p>
        </w:tc>
      </w:tr>
      <w:tr>
        <w:tc>
          <w:tcPr>
            <w:tcW w:type="dxa" w:w="432"/>
          </w:tcPr>
          <w:p>
            <w:r>
              <w:t>5</w:t>
            </w:r>
          </w:p>
        </w:tc>
        <w:tc>
          <w:tcPr>
            <w:tcW w:type="dxa" w:w="2160"/>
          </w:tcPr>
          <w:p>
            <w:r>
              <w:t>Registre de gouvernance et périmètre IA</w:t>
            </w:r>
          </w:p>
        </w:tc>
        <w:tc>
          <w:tcPr>
            <w:tcW w:type="dxa" w:w="2736"/>
          </w:tcPr>
          <w:p>
            <w:r>
              <w:t>Maintenir une vue vivante du portefeuille : systèmes IA, données, risques, exclusions, contrôles, responsables, actions correctives non résolues</w:t>
            </w:r>
          </w:p>
        </w:tc>
        <w:tc>
          <w:tcPr>
            <w:tcW w:type="dxa" w:w="2160"/>
          </w:tcPr>
          <w:p>
            <w:r>
              <w:t>Chaque application, agent, automatisation, connecteur, workflow de traitement de données identifié</w:t>
            </w:r>
          </w:p>
        </w:tc>
        <w:tc>
          <w:tcPr>
            <w:tcW w:type="dxa" w:w="2736"/>
          </w:tcPr>
          <w:p>
            <w:r>
              <w:t>Inventaire des systèmes, classification de risque, registre de données, exclusions, statut de revue, backlog d'actions</w:t>
            </w:r>
          </w:p>
        </w:tc>
      </w:tr>
    </w:tbl>
    <w:p>
      <w:r>
        <w:rPr>
          <w:b/>
        </w:rPr>
        <w:t xml:space="preserve">Diffusion : </w:t>
      </w:r>
      <w:r>
        <w:t>les documents 1 à 4 sont publiés sur thinknsolv.net (objectif pédagogique). Le document 5 reste privé — il contient des constats de sécurité réels non encore traités ; le publier serait contre-productif, indépendamment de tout objectif pédagogique.</w:t>
      </w:r>
    </w:p>
    <w:p>
      <w:r>
        <w:t>Un ancien « Human–AI Interaction Protocol — ThinknSolv and AI » (v1.0 en anglais) a été proposé comme document séparé à l'étape de revue de ce cadre (16 septembre 2026). Après avis, son contenu a été fusionné dans le Document 2 (Standard v6.2, Part 1 — extrait condensé) plutôt que maintenu comme document séparé, pour ne pas dupliquer des règles déjà couvertes ailleurs — voir le changelog interne du Standard (entrée 6.2) pour le détail. Le dispositif compte donc 5 documents ; le fichier original de ce protocole proposé est conservé pour l'historique, non maintenu (voir CONTEXTE.md).</w:t>
      </w:r>
    </w:p>
    <w:p>
      <w:pPr>
        <w:pStyle w:val="Heading1"/>
      </w:pPr>
      <w:r>
        <w:t>Schéma de la hiérarchie</w:t>
      </w:r>
    </w:p>
    <w:tbl>
      <w:tblPr>
        <w:tblStyle w:val="TableGrid"/>
        <w:tblW w:type="auto" w:w="0"/>
        <w:tblLook w:firstColumn="1" w:firstRow="1" w:lastColumn="0" w:lastRow="0" w:noHBand="0" w:noVBand="1" w:val="04A0"/>
      </w:tblPr>
      <w:tblGrid>
        <w:gridCol w:w="8640"/>
      </w:tblGrid>
      <w:tr>
        <w:tc>
          <w:tcPr>
            <w:tcW w:type="dxa" w:w="8640"/>
          </w:tcPr>
          <w:p>
            <w:r/>
            <w:r>
              <w:rPr>
                <w:rFonts w:ascii="Consolas" w:hAnsi="Consolas"/>
                <w:sz w:val="18"/>
              </w:rPr>
              <w:t>DOCUMENT 1 — ARCHITECTURE DE RÉFÉRENCE</w:t>
            </w:r>
          </w:p>
          <w:p>
            <w:r>
              <w:rPr>
                <w:rFonts w:ascii="Consolas" w:hAnsi="Consolas"/>
                <w:sz w:val="18"/>
              </w:rPr>
              <w:t xml:space="preserve">        Cadre de gouvernance IA — ThinknSolv</w:t>
            </w:r>
          </w:p>
          <w:p>
            <w:r>
              <w:rPr>
                <w:rFonts w:ascii="Consolas" w:hAnsi="Consolas"/>
                <w:sz w:val="18"/>
              </w:rPr>
              <w:t xml:space="preserve">   Périmètre, hiérarchie, usage, formats, logique d'application</w:t>
            </w:r>
          </w:p>
          <w:p>
            <w:r>
              <w:rPr>
                <w:rFonts w:ascii="Consolas" w:hAnsi="Consolas"/>
                <w:sz w:val="18"/>
              </w:rPr>
              <w:t xml:space="preserve">                          │</w:t>
            </w:r>
          </w:p>
          <w:p>
            <w:r>
              <w:rPr>
                <w:rFonts w:ascii="Consolas" w:hAnsi="Consolas"/>
                <w:sz w:val="18"/>
              </w:rPr>
              <w:t xml:space="preserve">                          ▼</w:t>
            </w:r>
          </w:p>
          <w:p>
            <w:r>
              <w:rPr>
                <w:rFonts w:ascii="Consolas" w:hAnsi="Consolas"/>
                <w:sz w:val="18"/>
              </w:rPr>
              <w:t>DOCUMENT 2 — AUTORITÉ LA PLUS HAUTE SUR LES RÈGLES DE FOND</w:t>
            </w:r>
          </w:p>
          <w:p>
            <w:r>
              <w:rPr>
                <w:rFonts w:ascii="Consolas" w:hAnsi="Consolas"/>
                <w:sz w:val="18"/>
              </w:rPr>
              <w:t xml:space="preserve">              Standard qualité et preuve IA</w:t>
            </w:r>
          </w:p>
          <w:p>
            <w:r>
              <w:rPr>
                <w:rFonts w:ascii="Consolas" w:hAnsi="Consolas"/>
                <w:sz w:val="18"/>
              </w:rPr>
              <w:t xml:space="preserve">                          │</w:t>
            </w:r>
          </w:p>
          <w:p>
            <w:r>
              <w:rPr>
                <w:rFonts w:ascii="Consolas" w:hAnsi="Consolas"/>
                <w:sz w:val="18"/>
              </w:rPr>
              <w:t xml:space="preserve">            ┌─────────────┴──────────────┐</w:t>
            </w:r>
          </w:p>
          <w:p>
            <w:r>
              <w:rPr>
                <w:rFonts w:ascii="Consolas" w:hAnsi="Consolas"/>
                <w:sz w:val="18"/>
              </w:rPr>
              <w:t xml:space="preserve">            │                             │</w:t>
            </w:r>
          </w:p>
          <w:p>
            <w:r>
              <w:rPr>
                <w:rFonts w:ascii="Consolas" w:hAnsi="Consolas"/>
                <w:sz w:val="18"/>
              </w:rPr>
              <w:t xml:space="preserve">            ▼                             ▼</w:t>
            </w:r>
          </w:p>
          <w:p>
            <w:r>
              <w:rPr>
                <w:rFonts w:ascii="Consolas" w:hAnsi="Consolas"/>
                <w:sz w:val="18"/>
              </w:rPr>
              <w:t xml:space="preserve">      DOCUMENT 3                    DOCUMENT 4</w:t>
            </w:r>
          </w:p>
          <w:p>
            <w:r>
              <w:rPr>
                <w:rFonts w:ascii="Consolas" w:hAnsi="Consolas"/>
                <w:sz w:val="18"/>
              </w:rPr>
              <w:t xml:space="preserve">      Plan de contrôle              Structurer et valider</w:t>
            </w:r>
          </w:p>
          <w:p>
            <w:r>
              <w:rPr>
                <w:rFonts w:ascii="Consolas" w:hAnsi="Consolas"/>
                <w:sz w:val="18"/>
              </w:rPr>
              <w:t xml:space="preserve">      qualité allégé IA             un livrable IA</w:t>
            </w:r>
          </w:p>
          <w:p>
            <w:r>
              <w:rPr>
                <w:rFonts w:ascii="Consolas" w:hAnsi="Consolas"/>
                <w:sz w:val="18"/>
              </w:rPr>
              <w:t xml:space="preserve">            │                             │</w:t>
            </w:r>
          </w:p>
          <w:p>
            <w:r>
              <w:rPr>
                <w:rFonts w:ascii="Consolas" w:hAnsi="Consolas"/>
                <w:sz w:val="18"/>
              </w:rPr>
              <w:t xml:space="preserve">            └─────────────┬──────────────┘</w:t>
            </w:r>
          </w:p>
          <w:p>
            <w:r>
              <w:rPr>
                <w:rFonts w:ascii="Consolas" w:hAnsi="Consolas"/>
                <w:sz w:val="18"/>
              </w:rPr>
              <w:t xml:space="preserve">                           │</w:t>
            </w:r>
          </w:p>
          <w:p>
            <w:r>
              <w:rPr>
                <w:rFonts w:ascii="Consolas" w:hAnsi="Consolas"/>
                <w:sz w:val="18"/>
              </w:rPr>
              <w:t xml:space="preserve">                           ▼</w:t>
            </w:r>
          </w:p>
          <w:p>
            <w:r>
              <w:rPr>
                <w:rFonts w:ascii="Consolas" w:hAnsi="Consolas"/>
                <w:sz w:val="18"/>
              </w:rPr>
              <w:t xml:space="preserve">                     DOCUMENT 5</w:t>
            </w:r>
          </w:p>
          <w:p>
            <w:r>
              <w:rPr>
                <w:rFonts w:ascii="Consolas" w:hAnsi="Consolas"/>
                <w:sz w:val="18"/>
              </w:rPr>
              <w:t xml:space="preserve">           Registre de gouvernance et</w:t>
            </w:r>
          </w:p>
          <w:p>
            <w:r>
              <w:rPr>
                <w:rFonts w:ascii="Consolas" w:hAnsi="Consolas"/>
                <w:sz w:val="18"/>
              </w:rPr>
              <w:t xml:space="preserve">               périmètre IA</w:t>
            </w:r>
          </w:p>
        </w:tc>
      </w:tr>
    </w:tbl>
    <w:p>
      <w:pPr>
        <w:pStyle w:val="Heading1"/>
      </w:pPr>
      <w:r>
        <w:t>Usage</w:t>
      </w:r>
    </w:p>
    <w:p>
      <w:pPr>
        <w:pStyle w:val="ListBullet"/>
      </w:pPr>
      <w:r>
        <w:rPr>
          <w:b/>
        </w:rPr>
        <w:t xml:space="preserve">Document 2 (Standard) </w:t>
      </w:r>
      <w:r>
        <w:t>fait foi pour tout travail substantiel de ce workspace, par défaut — c'est la référence des règles opérationnelles (voir son Part 1 pour l'extrait condensé utilisé dans les fichiers CLAUDE.md du workspace).</w:t>
      </w:r>
    </w:p>
    <w:p>
      <w:pPr>
        <w:pStyle w:val="ListBullet"/>
      </w:pPr>
      <w:r>
        <w:rPr>
          <w:b/>
        </w:rPr>
        <w:t xml:space="preserve">Document 3 (Lite Plan) </w:t>
      </w:r>
      <w:r>
        <w:t>s'applique uniquement quand la tâche est manifestement à faible enjeu, bornée, réversible et sans donnée sensible — sinon, le Standard complet s'applique.</w:t>
      </w:r>
    </w:p>
    <w:p>
      <w:pPr>
        <w:pStyle w:val="ListBullet"/>
      </w:pPr>
      <w:r>
        <w:rPr>
          <w:b/>
        </w:rPr>
        <w:t xml:space="preserve">Document 4 (Structuring/Testing) </w:t>
      </w:r>
      <w:r>
        <w:t>s'ajoute quand un livrable réutilisable, formel ou technique est créé ou modifié de façon substantielle — gabarit de dossier applicatif et processus de test à deux niveaux.</w:t>
      </w:r>
    </w:p>
    <w:p>
      <w:pPr>
        <w:pStyle w:val="ListBullet"/>
      </w:pPr>
      <w:r>
        <w:rPr>
          <w:b/>
        </w:rPr>
        <w:t xml:space="preserve">Document 5 (Governance Inventory) </w:t>
      </w:r>
      <w:r>
        <w:t>se met à jour à chaque changement de système, de connecteur, de source de données, de risque ou d'action corrective — outil de suivi interne, jamais appliqué directement à une tâche ponctuelle.</w:t>
      </w:r>
    </w:p>
    <w:p>
      <w:pPr>
        <w:pStyle w:val="Heading1"/>
      </w:pPr>
      <w:r>
        <w:t>Périmètre</w:t>
      </w:r>
    </w:p>
    <w:p>
      <w:r>
        <w:t>Ce cadre s'applique à tout travail assisté par IA de Laurent Perier / ThinknSolv, à titre professionnel comme personnel : administration, recherche, formation, stratégie, analyse, modélisation, logiciels, applications, agents, connecteurs, automatisations, traitement de données, travail client, projets personnels, communication externe, et toute action déclenchée par l'IA. Il est neutre technologiquement — applicable à tout fournisseur, modèle, interface, déploiement local ou cloud, connecteur, workflow, ou système IA futur.</w:t>
      </w:r>
    </w:p>
    <w:p>
      <w:pPr>
        <w:pStyle w:val="Heading1"/>
      </w:pPr>
      <w:r>
        <w:t xml:space="preserve">Alignement avec les référentiels externes</w:t>
      </w:r>
    </w:p>
    <w:p>
      <w:r>
        <w:t xml:space="preserve">Le Document 2 (Standard) cite déjà ISO/IEC 42001 (Sections L, N) et OWASP (Section O) comme référentiels externes pour certaines de ses règles. Cette section documente, au niveau architecture, quel référentiel externe encadre le dispositif dans son ensemble — une question distincte des citations ponctuelles du Document 2, et pertinente à ce niveau car elle conditionne la crédibilité et la lisibilité de toute l'architecture, pas seulement d'une règle isolée.</w:t>
      </w:r>
    </w:p>
    <w:p>
      <w:r>
        <w:t xml:space="preserve">Constat déclencheur (2026-09-28) : un document externe rédigé dans le cadre d'une collaboration académique citait le cadre NIST AI RMF (gouverner/cartographier/mesurer/gérer) sans source vérifiable, pendant que le Document 2 cite ISO/IEC 42001 sans source vérifiable non plus — deux référentiels différents, aucun des deux réellement traçable. Corrigé pour NIST dans ce document externe ; ISO/IEC 42001 reste un point ouvert du Document 2 (citations non résolues).</w:t>
      </w:r>
    </w:p>
    <w:p>
      <w:pPr>
        <w:pStyle w:val="Heading2"/>
      </w:pPr>
      <w:r>
        <w:t xml:space="preserve">Comparaison</w:t>
      </w:r>
    </w:p>
    <w:tbl>
      <w:tblPr>
        <w:tblStyle w:val="TableGrid"/>
        <w:tblW w:type="auto" w:w="0"/>
        <w:tblLook w:firstColumn="1" w:firstRow="1" w:lastColumn="0" w:lastRow="0" w:noHBand="0" w:noVBand="1" w:val="04A0"/>
      </w:tblPr>
      <w:tblGrid>
        <w:gridCol w:w="2600"/>
        <w:gridCol w:w="3360"/>
        <w:gridCol w:w="3360"/>
      </w:tblGrid>
      <w:tr>
        <w:tc>
          <w:tcPr>
            <w:tcW w:type="dxa" w:w="2600"/>
          </w:tcPr>
          <w:p>
            <w:r>
              <w:rPr>
                <w:b/>
              </w:rPr>
              <w:t xml:space="preserve">Critère</w:t>
            </w:r>
          </w:p>
        </w:tc>
        <w:tc>
          <w:tcPr>
            <w:tcW w:type="dxa" w:w="3360"/>
          </w:tcPr>
          <w:p>
            <w:r>
              <w:rPr>
                <w:b/>
              </w:rPr>
              <w:t xml:space="preserve">ISO/IEC 42001</w:t>
            </w:r>
          </w:p>
        </w:tc>
        <w:tc>
          <w:tcPr>
            <w:tcW w:type="dxa" w:w="3360"/>
          </w:tcPr>
          <w:p>
            <w:r>
              <w:rPr>
                <w:b/>
              </w:rPr>
              <w:t xml:space="preserve">NIST AI RMF</w:t>
            </w:r>
          </w:p>
        </w:tc>
      </w:tr>
      <w:tr>
        <w:tc>
          <w:tcPr>
            <w:tcW w:type="dxa" w:w="2600"/>
          </w:tcPr>
          <w:p>
            <w:r>
              <w:t xml:space="preserve">Nature</w:t>
            </w:r>
          </w:p>
        </w:tc>
        <w:tc>
          <w:tcPr>
            <w:tcW w:type="dxa" w:w="3360"/>
          </w:tcPr>
          <w:p>
            <w:r>
              <w:t xml:space="preserve">Norme de système de management IA, certifiable par un organisme accrédité</w:t>
            </w:r>
          </w:p>
        </w:tc>
        <w:tc>
          <w:tcPr>
            <w:tcW w:type="dxa" w:w="3360"/>
          </w:tcPr>
          <w:p>
            <w:r>
              <w:t xml:space="preserve">Cadre de gestion des risques, non certifiable, guidance volontaire</w:t>
            </w:r>
          </w:p>
        </w:tc>
      </w:tr>
      <w:tr>
        <w:tc>
          <w:tcPr>
            <w:tcW w:type="dxa" w:w="2600"/>
          </w:tcPr>
          <w:p>
            <w:r>
              <w:t xml:space="preserve">Déjà utilisé dans le dispositif</w:t>
            </w:r>
          </w:p>
        </w:tc>
        <w:tc>
          <w:tcPr>
            <w:tcW w:type="dxa" w:w="3360"/>
          </w:tcPr>
          <w:p>
            <w:r>
              <w:t xml:space="preserve">Oui — Document 2, Sections L et N</w:t>
            </w:r>
          </w:p>
        </w:tc>
        <w:tc>
          <w:tcPr>
            <w:tcW w:type="dxa" w:w="3360"/>
          </w:tcPr>
          <w:p>
            <w:r>
              <w:t xml:space="preserve">Non — seulement dans la fiche mission M2</w:t>
            </w:r>
          </w:p>
        </w:tc>
      </w:tr>
      <w:tr>
        <w:tc>
          <w:tcPr>
            <w:tcW w:type="dxa" w:w="2600"/>
          </w:tcPr>
          <w:p>
            <w:r>
              <w:t xml:space="preserve">Crédibilité commerciale (clients PME/TPE)</w:t>
            </w:r>
          </w:p>
        </w:tc>
        <w:tc>
          <w:tcPr>
            <w:tcW w:type="dxa" w:w="3360"/>
          </w:tcPr>
          <w:p>
            <w:r>
              <w:t xml:space="preserve">Forte — norme internationale reconnue, argument de vente pour un cabinet de conseil</w:t>
            </w:r>
          </w:p>
        </w:tc>
        <w:tc>
          <w:tcPr>
            <w:tcW w:type="dxa" w:w="3360"/>
          </w:tcPr>
          <w:p>
            <w:r>
              <w:t xml:space="preserve">Plus faible en France — cadre fédéral américain, peu connu des TPE/PME</w:t>
            </w:r>
          </w:p>
        </w:tc>
      </w:tr>
      <w:tr>
        <w:tc>
          <w:tcPr>
            <w:tcW w:type="dxa" w:w="2600"/>
          </w:tcPr>
          <w:p>
            <w:r>
              <w:t xml:space="preserve">Vérifiabilité / accès au texte source</w:t>
            </w:r>
          </w:p>
        </w:tc>
        <w:tc>
          <w:tcPr>
            <w:tcW w:type="dxa" w:w="3360"/>
          </w:tcPr>
          <w:p>
            <w:r>
              <w:t xml:space="preserve">Payante, non librement consultable — toute citation actuelle s'appuie probablement sur des résumés secondaires, pas le texte primaire</w:t>
            </w:r>
          </w:p>
        </w:tc>
        <w:tc>
          <w:tcPr>
            <w:tcW w:type="dxa" w:w="3360"/>
          </w:tcPr>
          <w:p>
            <w:r>
              <w:t xml:space="preserve">Gratuite, texte intégral public (NIST AI 100-1, janvier 2023) — citation directement vérifiable</w:t>
            </w:r>
          </w:p>
        </w:tc>
      </w:tr>
      <w:tr>
        <w:tc>
          <w:tcPr>
            <w:tcW w:type="dxa" w:w="2600"/>
          </w:tcPr>
          <w:p>
            <w:r>
              <w:t xml:space="preserve">Structure</w:t>
            </w:r>
          </w:p>
        </w:tc>
        <w:tc>
          <w:tcPr>
            <w:tcW w:type="dxa" w:w="3360"/>
          </w:tcPr>
          <w:p>
            <w:r>
              <w:t xml:space="preserve">Système de management générique (PDCA : Plan-Do-Check-Act)</w:t>
            </w:r>
          </w:p>
        </w:tc>
        <w:tc>
          <w:tcPr>
            <w:tcW w:type="dxa" w:w="3360"/>
          </w:tcPr>
          <w:p>
            <w:r>
              <w:t xml:space="preserve">4 fonctions : Govern / Map / Measure / Manage</w:t>
            </w:r>
          </w:p>
        </w:tc>
      </w:tr>
      <w:tr>
        <w:tc>
          <w:tcPr>
            <w:tcW w:type="dxa" w:w="2600"/>
          </w:tcPr>
          <w:p>
            <w:r>
              <w:t xml:space="preserve">Adéquation pédagogique (mission étudiante)</w:t>
            </w:r>
          </w:p>
        </w:tc>
        <w:tc>
          <w:tcPr>
            <w:tcW w:type="dxa" w:w="3360"/>
          </w:tcPr>
          <w:p>
            <w:r>
              <w:t xml:space="preserve">Générique, pas de correspondance évidente avec un déroulé de mission</w:t>
            </w:r>
          </w:p>
        </w:tc>
        <w:tc>
          <w:tcPr>
            <w:tcW w:type="dxa" w:w="3360"/>
          </w:tcPr>
          <w:p>
            <w:r>
              <w:t xml:space="preserve">Se mappe presque terme à terme sur un déroulé type "cadrer → concevoir → expérimenter → formaliser"</w:t>
            </w:r>
          </w:p>
        </w:tc>
      </w:tr>
    </w:tbl>
    <w:p/>
    <w:p>
      <w:pPr>
        <w:pStyle w:val="Heading2"/>
      </w:pPr>
      <w:r>
        <w:t xml:space="preserve">Avantages / inconvénients</w:t>
      </w:r>
    </w:p>
    <w:p>
      <w:pPr>
        <w:pStyle w:val="ListBullet"/>
      </w:pPr>
      <w:r>
        <w:rPr>
          <w:b/>
        </w:rPr>
        <w:t xml:space="preserve">ISO/IEC 42001 — </w:t>
      </w:r>
      <w:r>
        <w:t xml:space="preserve">Avantages : reconnaissance internationale, positionnement commercial fort auprès de clients PME/TPE, déjà intégré au Document 2. Inconvénients : texte source payant (risque de citer un résumé plutôt que la norme elle-même, ce qui est exactement le défaut B.1/B.8 que le Document 2 interdit par ailleurs) ; structure générique moins directement transposable à un déroulé de mission pédagogique.</w:t>
      </w:r>
    </w:p>
    <w:p>
      <w:pPr>
        <w:pStyle w:val="ListBullet"/>
      </w:pPr>
      <w:r>
        <w:rPr>
          <w:b/>
        </w:rPr>
        <w:t xml:space="preserve">NIST AI RMF — </w:t>
      </w:r>
      <w:r>
        <w:t xml:space="preserve">Avantages : gratuit et intégralement vérifiable, structure à 4 fonctions directement réutilisable comme grille de lecture pédagogique, déjà présent (informellement) dans la fiche mission M2. Inconvénients : moins reconnu commercialement en France pour un usage client PME/TPE ; introduire un deuxième référentiel formel à côté d'ISO/IEC 42001 duplique l'effort de citation si les deux sont traités comme piliers égaux.</w:t>
      </w:r>
    </w:p>
    <w:p>
      <w:pPr>
        <w:pStyle w:val="Heading2"/>
      </w:pPr>
      <w:r>
        <w:t xml:space="preserve">Particularités de notre projet</w:t>
      </w:r>
    </w:p>
    <w:p>
      <w:r>
        <w:t xml:space="preserve">Pour ThinknSolv (usage courant, clients PME/TPE), ISO/IEC 42001 reste le référentiel le plus utile pour la crédibilité commerciale, malgré le problème de vérifiabilité — à résoudre en consultant réellement le texte (achat ou accès bibliothèque) plutôt qu'en laissant les citations non résolues. Pour un usage pédagogique borné dans le temps et évalué académiquement (typiquement une mission étudiante d'un mois), NIST AI RMF est le choix le plus sûr comme cadre narratif principal : gratuit, vérifiable sans délai d'achat, et sa structure à 4 fonctions se prête naturellement à un déroulé du type analyser/cadrer → Map, concevoir → Govern, expérimenter → Measure, formaliser → Govern/Manage.</w:t>
      </w:r>
    </w:p>
    <w:p>
      <w:r>
        <w:t xml:space="preserve">Décision retenue (proposée, en attente de confirmation Laurent) : les deux référentiels coexistent avec des rôles distincts plutôt qu'un choix exclusif — NIST AI RMF comme cadre narratif/pédagogique, ISO/IEC 42001 comme référence de positionnement commercial pour le Document 2 (à condition de résoudre ses citations non vérifiées). Alternative plus simple, cohérente avec le principe « Simplicité par défaut » du workspace : ne retenir que NIST AI RMF comme référentiel unique tant qu'ISO/IEC 42001 n'est pas vérifié contre son texte source.</w:t>
      </w:r>
    </w:p>
    <w:p>
      <w:pPr>
        <w:pStyle w:val="Heading1"/>
      </w:pPr>
      <w:r>
        <w:t>Séquence d'application</w:t>
      </w:r>
    </w:p>
    <w:p>
      <w:pPr>
        <w:pStyle w:val="ListNumber"/>
      </w:pPr>
      <w:r>
        <w:t>Évaluer la conséquence, la sensibilité des données, la charge factuelle et de calcul, l'exposition externe, l'automatisation et la réversibilité de la tâche.</w:t>
      </w:r>
    </w:p>
    <w:p>
      <w:pPr>
        <w:pStyle w:val="ListNumber"/>
      </w:pPr>
      <w:r>
        <w:t>Appliquer le Document 2 dès qu'un risque matériel, une donnée sensible, une preuve décision-relevante, un calcul significatif, une publication, un déploiement ou une action irréversible est en jeu.</w:t>
      </w:r>
    </w:p>
    <w:p>
      <w:pPr>
        <w:pStyle w:val="ListNumber"/>
      </w:pPr>
      <w:r>
        <w:t>Utiliser le Document 3 seulement pour un travail à faible enjeu, borné, non sensible, aisément réversible, facile à corriger et non décision-critique.</w:t>
      </w:r>
    </w:p>
    <w:p>
      <w:pPr>
        <w:pStyle w:val="ListNumber"/>
      </w:pPr>
      <w:r>
        <w:t>Ajouter le Document 4 quand un livrable réutilisable, formel ou technique est créé ou modifié de façon substantielle.</w:t>
      </w:r>
    </w:p>
    <w:p>
      <w:pPr>
        <w:pStyle w:val="ListNumber"/>
      </w:pPr>
      <w:r>
        <w:t>Mettre à jour le Document 5 à chaque changement de système, connecteur, source de données, risque, exclusion ou action corrective.</w:t>
      </w:r>
    </w:p>
    <w:p>
      <w:pPr>
        <w:pStyle w:val="Heading1"/>
      </w:pPr>
      <w:r>
        <w:t>Ordre et préséance des documents</w:t>
      </w:r>
    </w:p>
    <w:p>
      <w:r>
        <w:t>Le Document 1 est l'architecture de référence. Le Document 2 est l'autorité la plus haute sur les règles de fond. Les Documents 3-5 sont des documents opérationnels subordonnés qui peuvent ajouter du détail mais ne peuvent jamais affaiblir le Document 2. En cas de conflit, la règle la plus stricte s'applique, sauf exception datée, motivée et approuvée par Laurent Perier / ThinknSolv, cohérente avec le Document 2.</w:t>
      </w:r>
    </w:p>
    <w:p>
      <w:pPr>
        <w:pStyle w:val="Heading1"/>
      </w:pPr>
      <w:r>
        <w:t>Formats et emplacement</w:t>
      </w:r>
    </w:p>
    <w:p>
      <w:r>
        <w:t>Les 5 documents sont maintenus en sources Markdown et copies de présentation Word contrôlées. Le Markdown est le format source de référence pour ce document ; pour le Standard, le Lite Plan et Structuring/Testing, le .docx existant reste la source de référence historique (voir chacun de leurs CONTEXTE.md). Le dossier de gouvernance doit rester hors des dossiers de projets applicatifs, dans le dossier central AI Quality docs.</w:t>
      </w:r>
    </w:p>
    <w:p>
      <w:pPr>
        <w:pStyle w:val="Heading1"/>
      </w:pPr>
      <w:r>
        <w:t>Approbation</w:t>
      </w:r>
    </w:p>
    <w:tbl>
      <w:tblPr>
        <w:tblStyle w:val="TableGrid"/>
        <w:tblW w:type="auto" w:w="0"/>
        <w:tblLook w:firstColumn="1" w:firstRow="1" w:lastColumn="0" w:lastRow="0" w:noHBand="0" w:noVBand="1" w:val="04A0"/>
      </w:tblPr>
      <w:tblGrid>
        <w:gridCol w:w="4320"/>
        <w:gridCol w:w="4320"/>
      </w:tblGrid>
      <w:tr>
        <w:tc>
          <w:tcPr>
            <w:tcW w:type="dxa" w:w="4320"/>
          </w:tcPr>
          <w:p>
            <w:r>
              <w:rPr>
                <w:b/>
              </w:rPr>
              <w:t>Approuvé par</w:t>
            </w:r>
          </w:p>
        </w:tc>
        <w:tc>
          <w:tcPr>
            <w:tcW w:type="dxa" w:w="4320"/>
          </w:tcPr>
          <w:p>
            <w:r>
              <w:t>Laurent Perier / ThinknSolv</w:t>
            </w:r>
          </w:p>
        </w:tc>
      </w:tr>
      <w:tr>
        <w:tc>
          <w:tcPr>
            <w:tcW w:type="dxa" w:w="4320"/>
          </w:tcPr>
          <w:p>
            <w:r>
              <w:rPr>
                <w:b/>
              </w:rPr>
              <w:t>Date d'approbation</w:t>
            </w:r>
          </w:p>
        </w:tc>
        <w:tc>
          <w:tcPr>
            <w:tcW w:type="dxa" w:w="4320"/>
          </w:tcPr>
          <w:p>
            <w:r>
              <w:t>16 septembre 2026</w:t>
            </w:r>
          </w:p>
        </w:tc>
      </w:tr>
      <w:tr>
        <w:tc>
          <w:tcPr>
            <w:tcW w:type="dxa" w:w="4320"/>
          </w:tcPr>
          <w:p>
            <w:r>
              <w:rPr>
                <w:b/>
              </w:rPr>
              <w:t>Décision</w:t>
            </w:r>
          </w:p>
        </w:tc>
        <w:tc>
          <w:tcPr>
            <w:tcW w:type="dxa" w:w="4320"/>
          </w:tcPr>
          <w:p>
            <w:r>
              <w:t>Approuvé</w:t>
            </w:r>
          </w:p>
        </w:tc>
      </w:tr>
      <w:tr>
        <w:tc>
          <w:tcPr>
            <w:tcW w:type="dxa" w:w="4320"/>
          </w:tcPr>
          <w:p>
            <w:r>
              <w:rPr>
                <w:b/>
              </w:rPr>
              <w:t>Résumé du changement</w:t>
            </w:r>
          </w:p>
        </w:tc>
        <w:tc>
          <w:tcPr>
            <w:tcW w:type="dxa" w:w="4320"/>
          </w:tcPr>
          <w:p>
            <w:r>
              <w:t>v1.0 — reconstruction en français à partir d'une proposition anglaise (v1.1, 6 documents) soumise pour avis ; fusion du Document 3 (Human–AI Interaction Protocol) dans le Standard, hiérarchie ramenée à 5 documents, diffusion documentée par document</w:t>
            </w:r>
          </w:p>
        </w:tc>
      </w:tr>
    </w:tbl>
    <w:p>
      <w:r>
        <w:t xml:space="preserve">Le statut de v1.1 (en révision, non encore approuvée) est suivi uniquement dans le tableau de contrôle en tête de document (champs Version/Statut) — pas dupliqué ici en une seconde entrée, pour éviter que les deux finissent par diverger.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